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惠州市中大惠亚医院绩效管理系统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维护项目</w:t>
      </w:r>
      <w:r>
        <w:rPr>
          <w:rFonts w:ascii="黑体" w:hAnsi="黑体" w:eastAsia="黑体"/>
          <w:b/>
          <w:sz w:val="44"/>
          <w:szCs w:val="44"/>
        </w:rPr>
        <w:t>采购</w:t>
      </w:r>
      <w:r>
        <w:rPr>
          <w:rFonts w:hint="eastAsia" w:ascii="黑体" w:hAnsi="黑体" w:eastAsia="黑体"/>
          <w:b/>
          <w:sz w:val="44"/>
          <w:szCs w:val="44"/>
        </w:rPr>
        <w:t>需求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一、项目名称</w:t>
      </w:r>
    </w:p>
    <w:p>
      <w:pPr>
        <w:pStyle w:val="33"/>
        <w:spacing w:line="500" w:lineRule="exact"/>
        <w:ind w:left="420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惠州市中大惠亚医院医院绩效管理系统维护服务</w:t>
      </w:r>
    </w:p>
    <w:p>
      <w:pPr>
        <w:pStyle w:val="33"/>
        <w:spacing w:line="500" w:lineRule="exact"/>
        <w:ind w:left="420" w:firstLine="240" w:firstLineChars="10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项目预算</w:t>
      </w:r>
    </w:p>
    <w:p>
      <w:pPr>
        <w:pStyle w:val="21"/>
        <w:spacing w:line="500" w:lineRule="exact"/>
        <w:ind w:left="420" w:firstLine="241" w:firstLineChars="1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人民币：玖万肆仟伍佰元整</w:t>
      </w:r>
    </w:p>
    <w:p>
      <w:pPr>
        <w:pStyle w:val="21"/>
        <w:spacing w:line="500" w:lineRule="exact"/>
        <w:ind w:left="420" w:firstLine="240" w:firstLineChars="100"/>
        <w:rPr>
          <w:rFonts w:ascii="宋体" w:hAnsi="宋体" w:cs="宋体"/>
          <w:lang w:val="zh-CN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资质要求</w:t>
      </w:r>
    </w:p>
    <w:p>
      <w:pPr>
        <w:pStyle w:val="21"/>
        <w:spacing w:line="500" w:lineRule="exact"/>
        <w:ind w:firstLine="720" w:firstLineChars="300"/>
      </w:pPr>
      <w:r>
        <w:rPr>
          <w:rFonts w:hint="eastAsia" w:ascii="MS Mincho" w:hAnsi="MS Mincho" w:eastAsia="MS Mincho" w:cs="MS Mincho"/>
        </w:rPr>
        <w:t>本</w:t>
      </w:r>
      <w:r>
        <w:rPr>
          <w:rFonts w:ascii="宋体" w:hAnsi="宋体" w:cs="宋体"/>
        </w:rPr>
        <w:t>项</w:t>
      </w:r>
      <w:r>
        <w:rPr>
          <w:rFonts w:ascii="MS Mincho" w:hAnsi="MS Mincho" w:eastAsia="MS Mincho" w:cs="MS Mincho"/>
        </w:rPr>
        <w:t>目不接受</w:t>
      </w:r>
      <w:r>
        <w:rPr>
          <w:rFonts w:ascii="宋体" w:hAnsi="宋体" w:cs="宋体"/>
        </w:rPr>
        <w:t>联</w:t>
      </w:r>
      <w:r>
        <w:rPr>
          <w:rFonts w:ascii="MS Mincho" w:hAnsi="MS Mincho" w:eastAsia="MS Mincho" w:cs="MS Mincho"/>
        </w:rPr>
        <w:t>合投</w:t>
      </w:r>
      <w:r>
        <w:rPr>
          <w:rFonts w:ascii="宋体" w:hAnsi="宋体" w:cs="宋体"/>
        </w:rPr>
        <w:t>标</w:t>
      </w:r>
    </w:p>
    <w:p>
      <w:pPr>
        <w:pStyle w:val="21"/>
        <w:spacing w:line="500" w:lineRule="exact"/>
        <w:ind w:left="420" w:firstLine="0" w:firstLineChars="0"/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采购清单</w:t>
      </w:r>
    </w:p>
    <w:tbl>
      <w:tblPr>
        <w:tblStyle w:val="17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76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6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36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Cs w:val="21"/>
              </w:rPr>
              <w:t>绩</w:t>
            </w:r>
            <w:r>
              <w:rPr>
                <w:rFonts w:hint="eastAsia" w:ascii="宋体" w:hAnsi="宋体" w:eastAsia="宋体" w:cs="MS Mincho"/>
                <w:color w:val="000000" w:themeColor="text1"/>
                <w:szCs w:val="21"/>
              </w:rPr>
              <w:t>效</w:t>
            </w:r>
            <w:r>
              <w:rPr>
                <w:rFonts w:ascii="MS Mincho" w:hAnsi="MS Mincho" w:eastAsia="MS Mincho" w:cs="MS Mincho"/>
                <w:color w:val="000000" w:themeColor="text1"/>
                <w:szCs w:val="21"/>
              </w:rPr>
              <w:t>管理系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统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维护服务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每年94500元</w:t>
            </w:r>
          </w:p>
        </w:tc>
      </w:tr>
    </w:tbl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采购</w:t>
      </w:r>
      <w:r>
        <w:rPr>
          <w:rFonts w:ascii="黑体" w:hAnsi="黑体" w:eastAsia="黑体"/>
          <w:b/>
          <w:sz w:val="28"/>
          <w:szCs w:val="28"/>
        </w:rPr>
        <w:t>需求</w:t>
      </w:r>
    </w:p>
    <w:p>
      <w:pPr>
        <w:pStyle w:val="21"/>
        <w:spacing w:line="500" w:lineRule="exact"/>
        <w:ind w:firstLine="0" w:firstLineChars="0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（一）软件</w:t>
      </w:r>
      <w:r>
        <w:rPr>
          <w:rFonts w:hint="eastAsia" w:ascii="黑体" w:hAnsi="黑体" w:eastAsia="黑体"/>
          <w:b/>
        </w:rPr>
        <w:t>维护</w:t>
      </w:r>
      <w:r>
        <w:rPr>
          <w:rFonts w:ascii="黑体" w:hAnsi="黑体" w:eastAsia="黑体"/>
          <w:b/>
        </w:rPr>
        <w:t>需求</w:t>
      </w:r>
    </w:p>
    <w:tbl>
      <w:tblPr>
        <w:tblStyle w:val="16"/>
        <w:tblpPr w:leftFromText="180" w:rightFromText="180" w:vertAnchor="text" w:tblpXSpec="center" w:tblpY="1"/>
        <w:tblOverlap w:val="never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服务内容</w:t>
            </w:r>
          </w:p>
        </w:tc>
        <w:tc>
          <w:tcPr>
            <w:tcW w:w="5550" w:type="dxa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 w:cs="MS Minch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restart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MS Mincho"/>
                <w:color w:val="000000" w:themeColor="text1"/>
                <w:sz w:val="24"/>
                <w:szCs w:val="24"/>
              </w:rPr>
              <w:t>效</w:t>
            </w:r>
            <w:r>
              <w:rPr>
                <w:rFonts w:ascii="MS Mincho" w:hAnsi="MS Mincho" w:eastAsia="MS Mincho" w:cs="MS Mincho"/>
                <w:color w:val="000000" w:themeColor="text1"/>
                <w:sz w:val="24"/>
                <w:szCs w:val="24"/>
              </w:rPr>
              <w:t>管理系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统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维护服务</w:t>
            </w: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每季度进行数据库优化调校,确保数据来源正确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每季度进行系统的例行更新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每季度进行系统的效能调整，确保系统运行速度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医院绩效政策调整时的管理咨询与相应调整服务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科室意见反馈的咨询管理服务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科室新增或变动诊疗项目时的咨询管理服务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提供电话技术支持及远端遥控支持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提供系统的升级版本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甲方系统如发生问题，乙方首先采用电话技术支持及远端遥控支持。如需乙方技术人员至现场排除时，乙方应于2个工作日内派员到达现场解决并排除故障。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遇到下列情况：省物价大调整、院区新启用大楼、更换或修改相关信息系统时（HIS，会计，资材…）和卫计委重大政策等致使绩效系统需进行重大修改的，供应商配合完成相应绩效系统调整，价格需双方另行友好协商。</w:t>
            </w:r>
          </w:p>
        </w:tc>
      </w:tr>
    </w:tbl>
    <w:p>
      <w:pPr>
        <w:pStyle w:val="21"/>
        <w:spacing w:line="500" w:lineRule="exact"/>
        <w:ind w:left="-283" w:leftChars="-135" w:firstLine="0" w:firstLineChars="0"/>
        <w:rPr>
          <w:rFonts w:ascii="黑体" w:hAnsi="黑体" w:eastAsia="黑体"/>
          <w:b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报价</w:t>
      </w:r>
    </w:p>
    <w:p>
      <w:pPr>
        <w:pStyle w:val="21"/>
        <w:spacing w:line="500" w:lineRule="exact"/>
        <w:ind w:firstLineChars="0"/>
        <w:rPr>
          <w:rFonts w:ascii="宋体" w:hAnsi="宋体" w:cs="MS Mincho"/>
        </w:rPr>
      </w:pPr>
      <w:r>
        <w:rPr>
          <w:rFonts w:ascii="MS Mincho" w:hAnsi="MS Mincho" w:eastAsia="MS Mincho" w:cs="MS Mincho"/>
        </w:rPr>
        <w:t>本</w:t>
      </w:r>
      <w:r>
        <w:rPr>
          <w:rFonts w:hint="eastAsia" w:ascii="宋体" w:hAnsi="宋体"/>
        </w:rPr>
        <w:t>项</w:t>
      </w:r>
      <w:r>
        <w:rPr>
          <w:rFonts w:ascii="宋体" w:hAnsi="宋体" w:cs="MS Mincho"/>
        </w:rPr>
        <w:t>目</w:t>
      </w:r>
      <w:r>
        <w:rPr>
          <w:rFonts w:ascii="宋体" w:hAnsi="宋体"/>
        </w:rPr>
        <w:t>报价应为</w:t>
      </w:r>
      <w:r>
        <w:rPr>
          <w:rFonts w:hint="eastAsia" w:ascii="宋体" w:hAnsi="宋体"/>
        </w:rPr>
        <w:t>全</w:t>
      </w:r>
      <w:r>
        <w:rPr>
          <w:rFonts w:hint="eastAsia" w:ascii="宋体" w:hAnsi="宋体" w:cs="微软雅黑"/>
        </w:rPr>
        <w:t>报</w:t>
      </w:r>
      <w:r>
        <w:rPr>
          <w:rFonts w:ascii="宋体" w:hAnsi="宋体" w:cs="MS Mincho"/>
        </w:rPr>
        <w:t>价。</w:t>
      </w:r>
      <w:r>
        <w:rPr>
          <w:rFonts w:hint="eastAsia" w:ascii="宋体" w:hAnsi="宋体" w:cs="微软雅黑"/>
        </w:rPr>
        <w:t>报</w:t>
      </w:r>
      <w:r>
        <w:rPr>
          <w:rFonts w:hint="eastAsia" w:ascii="宋体" w:hAnsi="宋体" w:cs="MS Mincho"/>
        </w:rPr>
        <w:t>价</w:t>
      </w:r>
      <w:r>
        <w:rPr>
          <w:rFonts w:hint="eastAsia" w:ascii="宋体" w:hAnsi="宋体" w:cs="微软雅黑"/>
        </w:rPr>
        <w:t>应</w:t>
      </w:r>
      <w:r>
        <w:rPr>
          <w:rFonts w:hint="eastAsia" w:ascii="宋体" w:hAnsi="宋体" w:cs="MS Mincho"/>
        </w:rPr>
        <w:t>包含但不</w:t>
      </w:r>
      <w:r>
        <w:rPr>
          <w:rFonts w:hint="eastAsia" w:ascii="宋体" w:hAnsi="宋体" w:cs="微软雅黑"/>
        </w:rPr>
        <w:t>仅</w:t>
      </w:r>
      <w:r>
        <w:rPr>
          <w:rFonts w:hint="eastAsia" w:ascii="宋体" w:hAnsi="宋体" w:cs="MS Mincho"/>
        </w:rPr>
        <w:t>限于本项目所必须的</w:t>
      </w:r>
      <w:r>
        <w:rPr>
          <w:rFonts w:ascii="宋体" w:hAnsi="宋体" w:cs="MS Mincho"/>
        </w:rPr>
        <w:t>税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、人工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、材料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、安装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</w:t>
      </w:r>
      <w:r>
        <w:rPr>
          <w:rFonts w:hint="eastAsia" w:ascii="宋体" w:hAnsi="宋体" w:cs="MS Mincho"/>
        </w:rPr>
        <w:t>软件服务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、培</w:t>
      </w:r>
      <w:r>
        <w:rPr>
          <w:rFonts w:hint="eastAsia" w:ascii="宋体" w:hAnsi="宋体" w:cs="微软雅黑"/>
        </w:rPr>
        <w:t>训费</w:t>
      </w:r>
      <w:r>
        <w:rPr>
          <w:rFonts w:ascii="宋体" w:hAnsi="宋体" w:cs="MS Mincho"/>
        </w:rPr>
        <w:t>、</w:t>
      </w:r>
      <w:r>
        <w:rPr>
          <w:rFonts w:hint="eastAsia" w:ascii="宋体" w:hAnsi="宋体" w:cs="微软雅黑"/>
        </w:rPr>
        <w:t>验</w:t>
      </w:r>
      <w:r>
        <w:rPr>
          <w:rFonts w:ascii="宋体" w:hAnsi="宋体" w:cs="MS Mincho"/>
        </w:rPr>
        <w:t>收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等所有</w:t>
      </w:r>
      <w:r>
        <w:rPr>
          <w:rFonts w:hint="eastAsia" w:ascii="宋体" w:hAnsi="宋体"/>
        </w:rPr>
        <w:t>费</w:t>
      </w:r>
      <w:r>
        <w:rPr>
          <w:rFonts w:ascii="宋体" w:hAnsi="宋体" w:cs="MS Mincho"/>
        </w:rPr>
        <w:t>用。</w:t>
      </w:r>
    </w:p>
    <w:p>
      <w:pPr>
        <w:pStyle w:val="21"/>
        <w:spacing w:line="500" w:lineRule="exact"/>
        <w:ind w:firstLine="0" w:firstLineChars="0"/>
        <w:rPr>
          <w:rFonts w:ascii="宋体" w:hAnsi="宋体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支付方式</w:t>
      </w:r>
    </w:p>
    <w:p>
      <w:pPr>
        <w:pStyle w:val="2"/>
        <w:spacing w:line="5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1、</w:t>
      </w:r>
      <w:r>
        <w:rPr>
          <w:rFonts w:hint="eastAsia"/>
          <w:sz w:val="24"/>
          <w:szCs w:val="24"/>
        </w:rPr>
        <w:t>合同签订后10个工作日内，甲方向乙方支付合同总价的50%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本年度维保服务期开始满半年后10个工作日内，甲方向乙方支付合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额的40%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本年度维保服务期结束后10个工作日内，凭相应的服务验收报告经</w:t>
      </w:r>
    </w:p>
    <w:p>
      <w:pPr>
        <w:pStyle w:val="2"/>
        <w:spacing w:line="5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签字确认后，甲方向乙方支付合同总额的10%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bookmarkStart w:id="0" w:name="_GoBack"/>
      <w:bookmarkEnd w:id="0"/>
      <w:r>
        <w:rPr>
          <w:rFonts w:hint="eastAsia"/>
          <w:sz w:val="24"/>
          <w:szCs w:val="24"/>
        </w:rPr>
        <w:t>乙方必须向甲方出具合法有效完整的完税发票及凭证进行支付结算。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7E1"/>
    <w:multiLevelType w:val="multilevel"/>
    <w:tmpl w:val="437A67E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1A2FAB"/>
    <w:multiLevelType w:val="multilevel"/>
    <w:tmpl w:val="671A2FA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B53"/>
    <w:rsid w:val="00040B53"/>
    <w:rsid w:val="000932E2"/>
    <w:rsid w:val="0029740F"/>
    <w:rsid w:val="002C3265"/>
    <w:rsid w:val="004E4FC5"/>
    <w:rsid w:val="00502F33"/>
    <w:rsid w:val="005928DB"/>
    <w:rsid w:val="006F6D0F"/>
    <w:rsid w:val="0093161D"/>
    <w:rsid w:val="00A92431"/>
    <w:rsid w:val="00AC32EB"/>
    <w:rsid w:val="00D15AC5"/>
    <w:rsid w:val="00D3354B"/>
    <w:rsid w:val="00D4631D"/>
    <w:rsid w:val="00DC6B1D"/>
    <w:rsid w:val="00E250DD"/>
    <w:rsid w:val="715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6"/>
    <w:basedOn w:val="1"/>
    <w:next w:val="1"/>
    <w:link w:val="29"/>
    <w:unhideWhenUsed/>
    <w:qFormat/>
    <w:uiPriority w:val="9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qFormat/>
    <w:uiPriority w:val="0"/>
    <w:pPr>
      <w:spacing w:line="300" w:lineRule="auto"/>
    </w:pPr>
    <w:rPr>
      <w:rFonts w:hint="eastAsia" w:ascii="宋体" w:hAnsi="Times New Roman" w:eastAsia="宋体" w:cs="Times New Roman"/>
      <w:szCs w:val="20"/>
    </w:rPr>
  </w:style>
  <w:style w:type="paragraph" w:styleId="7">
    <w:name w:val="Document Map"/>
    <w:basedOn w:val="1"/>
    <w:link w:val="38"/>
    <w:unhideWhenUsed/>
    <w:qFormat/>
    <w:uiPriority w:val="99"/>
    <w:rPr>
      <w:rFonts w:ascii="宋体" w:hAnsi="Times New Roman" w:eastAsia="宋体" w:cs="Times New Roman"/>
      <w:sz w:val="24"/>
      <w:szCs w:val="24"/>
    </w:rPr>
  </w:style>
  <w:style w:type="paragraph" w:styleId="8">
    <w:name w:val="annotation text"/>
    <w:basedOn w:val="1"/>
    <w:link w:val="25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9">
    <w:name w:val="Body Text Indent"/>
    <w:basedOn w:val="1"/>
    <w:link w:val="35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="宋体" w:cs="Times New Roman"/>
      <w:szCs w:val="21"/>
    </w:r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900"/>
      </w:tabs>
      <w:spacing w:before="120" w:after="120"/>
      <w:jc w:val="left"/>
    </w:pPr>
    <w:rPr>
      <w:rFonts w:ascii="楷体_GB2312" w:hAnsi="Times New Roman" w:eastAsia="楷体_GB2312" w:cs="Times New Roman"/>
      <w:b/>
      <w:caps/>
      <w:szCs w:val="20"/>
    </w:rPr>
  </w:style>
  <w:style w:type="paragraph" w:styleId="15">
    <w:name w:val="Body Text First Indent 2"/>
    <w:basedOn w:val="9"/>
    <w:link w:val="36"/>
    <w:qFormat/>
    <w:uiPriority w:val="0"/>
    <w:pPr>
      <w:ind w:firstLine="420" w:firstLineChars="200"/>
    </w:pPr>
    <w:rPr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列出段落1"/>
    <w:basedOn w:val="1"/>
    <w:qFormat/>
    <w:uiPriority w:val="0"/>
    <w:pPr>
      <w:adjustRightInd w:val="0"/>
      <w:spacing w:line="312" w:lineRule="auto"/>
      <w:ind w:firstLine="420" w:firstLineChars="200"/>
      <w:textAlignment w:val="baseline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Char"/>
    <w:basedOn w:val="18"/>
    <w:link w:val="13"/>
    <w:qFormat/>
    <w:uiPriority w:val="0"/>
    <w:rPr>
      <w:sz w:val="18"/>
      <w:szCs w:val="18"/>
    </w:rPr>
  </w:style>
  <w:style w:type="character" w:customStyle="1" w:styleId="23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4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5">
    <w:name w:val="批注文字 Char"/>
    <w:basedOn w:val="18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标题 1 Char"/>
    <w:basedOn w:val="1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8">
    <w:name w:val="标题 3 Char"/>
    <w:basedOn w:val="18"/>
    <w:link w:val="5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9">
    <w:name w:val="标题 6 Char"/>
    <w:basedOn w:val="18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正文文本 Char"/>
    <w:basedOn w:val="18"/>
    <w:link w:val="2"/>
    <w:qFormat/>
    <w:uiPriority w:val="0"/>
    <w:rPr>
      <w:rFonts w:ascii="宋体" w:hAnsi="Times New Roman" w:eastAsia="宋体" w:cs="Times New Roman"/>
      <w:kern w:val="2"/>
      <w:sz w:val="21"/>
    </w:rPr>
  </w:style>
  <w:style w:type="character" w:customStyle="1" w:styleId="31">
    <w:name w:val="纯文本 Char"/>
    <w:basedOn w:val="18"/>
    <w:link w:val="10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paragraph" w:customStyle="1" w:styleId="3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/>
      <w:b w:val="0"/>
      <w:sz w:val="28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4">
    <w:name w:val="排版"/>
    <w:basedOn w:val="1"/>
    <w:next w:val="2"/>
    <w:qFormat/>
    <w:uiPriority w:val="0"/>
    <w:pPr>
      <w:spacing w:line="600" w:lineRule="exact"/>
    </w:pPr>
    <w:rPr>
      <w:rFonts w:ascii="Times New Roman" w:hAnsi="Times New Roman" w:eastAsia="华文仿宋" w:cs="Times New Roman"/>
      <w:spacing w:val="6"/>
      <w:sz w:val="32"/>
      <w:szCs w:val="20"/>
    </w:rPr>
  </w:style>
  <w:style w:type="character" w:customStyle="1" w:styleId="35">
    <w:name w:val="正文文本缩进 Char"/>
    <w:basedOn w:val="18"/>
    <w:link w:val="9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36">
    <w:name w:val="正文首行缩进 2 Char"/>
    <w:basedOn w:val="35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7">
    <w:name w:val="Table Paragraph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文档结构图 Char"/>
    <w:basedOn w:val="18"/>
    <w:link w:val="7"/>
    <w:semiHidden/>
    <w:qFormat/>
    <w:uiPriority w:val="99"/>
    <w:rPr>
      <w:rFonts w:ascii="宋体" w:hAnsi="Times New Roman" w:eastAsia="宋体" w:cs="Times New Roman"/>
      <w:kern w:val="2"/>
      <w:sz w:val="24"/>
      <w:szCs w:val="24"/>
    </w:rPr>
  </w:style>
  <w:style w:type="character" w:customStyle="1" w:styleId="39">
    <w:name w:val="表格内容"/>
    <w:qFormat/>
    <w:uiPriority w:val="0"/>
    <w:rPr>
      <w:sz w:val="24"/>
    </w:rPr>
  </w:style>
  <w:style w:type="paragraph" w:customStyle="1" w:styleId="40">
    <w:name w:val="列出段落2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41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AA475-EDDA-40A2-A969-3F5ABBB9277C}">
  <ds:schemaRefs/>
</ds:datastoreItem>
</file>

<file path=customXml/itemProps3.xml><?xml version="1.0" encoding="utf-8"?>
<ds:datastoreItem xmlns:ds="http://schemas.openxmlformats.org/officeDocument/2006/customXml" ds:itemID="{B028B202-9B00-4490-9547-411259075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gxzy</Company>
  <Pages>2</Pages>
  <Words>110</Words>
  <Characters>627</Characters>
  <Lines>5</Lines>
  <Paragraphs>1</Paragraphs>
  <TotalTime>29</TotalTime>
  <ScaleCrop>false</ScaleCrop>
  <LinksUpToDate>false</LinksUpToDate>
  <CharactersWithSpaces>736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2017-03-15T11:56:00Z</dcterms:created>
  <dc:creator>康立</dc:creator>
  <cp:lastModifiedBy>natsume samaの迷妹~</cp:lastModifiedBy>
  <cp:lastPrinted>2016-07-25T11:33:00Z</cp:lastPrinted>
  <dcterms:modified xsi:type="dcterms:W3CDTF">2025-04-22T01:14:15Z</dcterms:modified>
  <cp:revision>661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29A6B8EB4F8B46858952958FC7748AB6</vt:lpwstr>
  </property>
</Properties>
</file>